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w:t>
      </w:r>
      <w:r>
        <w:rPr>
          <w:rFonts w:hint="eastAsia" w:ascii="黑体" w:hAnsi="黑体" w:eastAsia="黑体" w:cs="黑体"/>
          <w:b/>
          <w:bCs/>
          <w:sz w:val="28"/>
          <w:szCs w:val="32"/>
          <w:lang w:val="en-US" w:eastAsia="zh-CN"/>
        </w:rPr>
        <w:t>中国马克思与当代</w:t>
      </w:r>
      <w:r>
        <w:rPr>
          <w:rFonts w:hint="eastAsia" w:ascii="黑体" w:hAnsi="黑体" w:eastAsia="黑体" w:cs="黑体"/>
          <w:b/>
          <w:bCs/>
          <w:sz w:val="28"/>
          <w:szCs w:val="32"/>
        </w:rPr>
        <w:t>》课程简介</w:t>
      </w:r>
    </w:p>
    <w:tbl>
      <w:tblPr>
        <w:tblStyle w:val="7"/>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279"/>
        <w:gridCol w:w="3150"/>
        <w:gridCol w:w="1297"/>
        <w:gridCol w:w="3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5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79"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15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黄时进</w:t>
            </w:r>
          </w:p>
        </w:tc>
        <w:tc>
          <w:tcPr>
            <w:tcW w:w="1297" w:type="dxa"/>
            <w:vAlign w:val="center"/>
          </w:tcPr>
          <w:p>
            <w:pPr>
              <w:jc w:val="center"/>
              <w:rPr>
                <w:rFonts w:ascii="宋体" w:hAnsi="宋体" w:eastAsia="宋体" w:cs="仿宋"/>
                <w:b/>
                <w:sz w:val="22"/>
              </w:rPr>
            </w:pPr>
            <w:r>
              <w:rPr>
                <w:rFonts w:ascii="宋体" w:hAnsi="宋体" w:eastAsia="宋体" w:cs="仿宋"/>
                <w:b/>
                <w:sz w:val="22"/>
              </w:rPr>
              <w:t>工作单位</w:t>
            </w:r>
          </w:p>
        </w:tc>
        <w:tc>
          <w:tcPr>
            <w:tcW w:w="347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华东理工大学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53" w:type="dxa"/>
            <w:vMerge w:val="continue"/>
            <w:vAlign w:val="center"/>
          </w:tcPr>
          <w:p>
            <w:pPr>
              <w:rPr>
                <w:rFonts w:ascii="宋体" w:hAnsi="宋体" w:eastAsia="宋体" w:cs="仿宋"/>
                <w:sz w:val="22"/>
              </w:rPr>
            </w:pPr>
          </w:p>
        </w:tc>
        <w:tc>
          <w:tcPr>
            <w:tcW w:w="1279"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15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复旦大学</w:t>
            </w:r>
          </w:p>
        </w:tc>
        <w:tc>
          <w:tcPr>
            <w:tcW w:w="1297"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47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53" w:type="dxa"/>
            <w:vMerge w:val="continue"/>
            <w:vAlign w:val="center"/>
          </w:tcPr>
          <w:p>
            <w:pPr>
              <w:rPr>
                <w:rFonts w:ascii="宋体" w:hAnsi="宋体" w:eastAsia="宋体" w:cs="仿宋"/>
                <w:sz w:val="22"/>
              </w:rPr>
            </w:pPr>
          </w:p>
        </w:tc>
        <w:tc>
          <w:tcPr>
            <w:tcW w:w="1279"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15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科技哲学</w:t>
            </w:r>
          </w:p>
        </w:tc>
        <w:tc>
          <w:tcPr>
            <w:tcW w:w="1297"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47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huangshijin@163.com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exact"/>
        </w:trPr>
        <w:tc>
          <w:tcPr>
            <w:tcW w:w="115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79"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150"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材料学院遍观楼210</w:t>
            </w:r>
          </w:p>
        </w:tc>
        <w:tc>
          <w:tcPr>
            <w:tcW w:w="1297" w:type="dxa"/>
            <w:vAlign w:val="center"/>
          </w:tcPr>
          <w:p>
            <w:pPr>
              <w:jc w:val="center"/>
              <w:rPr>
                <w:rFonts w:ascii="宋体" w:hAnsi="宋体" w:eastAsia="宋体" w:cs="仿宋"/>
                <w:b w:val="0"/>
                <w:bCs w:val="0"/>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470" w:type="dxa"/>
            <w:vAlign w:val="center"/>
          </w:tcPr>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【5-14</w:t>
            </w:r>
            <w:bookmarkStart w:id="0" w:name="_GoBack"/>
            <w:bookmarkEnd w:id="0"/>
            <w:r>
              <w:rPr>
                <w:rFonts w:hint="eastAsia" w:ascii="宋体" w:hAnsi="宋体" w:eastAsia="宋体" w:cs="仿宋"/>
                <w:b w:val="0"/>
                <w:bCs w:val="0"/>
                <w:color w:val="000000" w:themeColor="text1"/>
                <w:sz w:val="22"/>
                <w:lang w:val="en-US" w:eastAsia="zh-CN"/>
                <w14:textFill>
                  <w14:solidFill>
                    <w14:schemeClr w14:val="tx1"/>
                  </w14:solidFill>
                </w14:textFill>
              </w:rPr>
              <w:t>周】</w:t>
            </w:r>
          </w:p>
          <w:p>
            <w:pPr>
              <w:rPr>
                <w:rFonts w:hint="default" w:ascii="宋体" w:hAnsi="宋体" w:eastAsia="宋体" w:cs="仿宋"/>
                <w:b w:val="0"/>
                <w:bCs w:val="0"/>
                <w:color w:val="000000" w:themeColor="text1"/>
                <w:sz w:val="22"/>
                <w:lang w:val="en-US" w:eastAsia="zh-CN"/>
                <w14:textFill>
                  <w14:solidFill>
                    <w14:schemeClr w14:val="tx1"/>
                  </w14:solidFill>
                </w14:textFill>
              </w:rPr>
            </w:pPr>
            <w:r>
              <w:rPr>
                <w:rFonts w:hint="eastAsia" w:ascii="宋体" w:hAnsi="宋体" w:eastAsia="宋体" w:cs="仿宋"/>
                <w:b w:val="0"/>
                <w:bCs w:val="0"/>
                <w:color w:val="000000" w:themeColor="text1"/>
                <w:sz w:val="22"/>
                <w:lang w:val="en-US" w:eastAsia="zh-CN"/>
                <w14:textFill>
                  <w14:solidFill>
                    <w14:schemeClr w14:val="tx1"/>
                  </w14:solidFill>
                </w14:textFill>
              </w:rPr>
              <w:t>周五13：30-17：05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53" w:type="dxa"/>
            <w:vMerge w:val="continue"/>
            <w:vAlign w:val="center"/>
          </w:tcPr>
          <w:p>
            <w:pPr>
              <w:rPr>
                <w:rFonts w:ascii="宋体" w:hAnsi="宋体" w:eastAsia="宋体" w:cs="仿宋"/>
                <w:sz w:val="22"/>
              </w:rPr>
            </w:pPr>
          </w:p>
        </w:tc>
        <w:tc>
          <w:tcPr>
            <w:tcW w:w="1279"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150" w:type="dxa"/>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2</w:t>
            </w:r>
          </w:p>
        </w:tc>
        <w:tc>
          <w:tcPr>
            <w:tcW w:w="1297"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470"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highlight w:val="none"/>
                <w:lang w:val="en-US" w:eastAsia="zh-CN"/>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53" w:type="dxa"/>
            <w:vMerge w:val="continue"/>
            <w:vAlign w:val="center"/>
          </w:tcPr>
          <w:p>
            <w:pPr>
              <w:rPr>
                <w:rFonts w:ascii="宋体" w:hAnsi="宋体" w:eastAsia="宋体" w:cs="仿宋"/>
                <w:sz w:val="22"/>
              </w:rPr>
            </w:pPr>
          </w:p>
        </w:tc>
        <w:tc>
          <w:tcPr>
            <w:tcW w:w="1279"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917" w:type="dxa"/>
            <w:gridSpan w:val="3"/>
            <w:vAlign w:val="center"/>
          </w:tcPr>
          <w:p>
            <w:pPr>
              <w:rPr>
                <w:rFonts w:hint="default" w:ascii="宋体" w:hAnsi="宋体" w:eastAsia="宋体" w:cs="仿宋"/>
                <w:sz w:val="22"/>
                <w:lang w:val="en-US" w:eastAsia="zh-CN"/>
              </w:rPr>
            </w:pPr>
            <w:r>
              <w:rPr>
                <w:rFonts w:hint="eastAsia" w:ascii="宋体" w:hAnsi="宋体" w:eastAsia="宋体" w:cs="仿宋"/>
                <w:sz w:val="22"/>
                <w:lang w:val="en-US" w:eastAsia="zh-CN"/>
              </w:rPr>
              <w:t>公共必修课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5" w:hRule="atLeast"/>
        </w:trPr>
        <w:tc>
          <w:tcPr>
            <w:tcW w:w="115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9196" w:type="dxa"/>
            <w:gridSpan w:val="4"/>
            <w:vAlign w:val="center"/>
          </w:tcPr>
          <w:p>
            <w:pPr>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pStyle w:val="5"/>
              <w:shd w:val="clear" w:color="auto" w:fill="FFFFFF"/>
              <w:ind w:firstLine="560" w:firstLineChars="200"/>
              <w:rPr>
                <w:rFonts w:hint="eastAsia" w:ascii="仿宋_GB2312" w:hAnsi="宋体" w:eastAsia="仿宋_GB2312" w:cstheme="minorBidi"/>
                <w:kern w:val="2"/>
                <w:sz w:val="28"/>
                <w:szCs w:val="28"/>
                <w:lang w:val="en-US" w:eastAsia="zh-CN" w:bidi="ar-SA"/>
              </w:rPr>
            </w:pPr>
            <w:r>
              <w:rPr>
                <w:rFonts w:hint="eastAsia" w:ascii="仿宋_GB2312" w:hAnsi="宋体" w:eastAsia="仿宋_GB2312"/>
                <w:sz w:val="28"/>
                <w:szCs w:val="28"/>
              </w:rPr>
              <w:t>本课程</w:t>
            </w:r>
            <w:r>
              <w:rPr>
                <w:rFonts w:hint="eastAsia" w:ascii="仿宋_GB2312" w:hAnsi="宋体" w:eastAsia="仿宋_GB2312" w:cstheme="minorBidi"/>
                <w:kern w:val="2"/>
                <w:sz w:val="28"/>
                <w:szCs w:val="28"/>
                <w:lang w:val="en-US" w:eastAsia="zh-CN" w:bidi="ar-SA"/>
              </w:rPr>
              <w:t>是各类博士研究生的必修公共政治理论课程。该课程主要运用当代中国马克思主义的基本理论、基本观点和方法，深入分析当代世界重大社会问题和国际经济政治热点问题、当代科学技术前沿问题和科技社会问题、当代重大社会思潮和理论热点等，帮助博士生进一步提高运用马克思主义立场观点方法分析和解决问题的能力。</w:t>
            </w:r>
          </w:p>
          <w:p>
            <w:pPr>
              <w:pStyle w:val="5"/>
              <w:shd w:val="clear" w:color="auto" w:fill="FFFFFF"/>
              <w:ind w:firstLine="560" w:firstLineChars="200"/>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通过对本课程的学习，使博士研究生全面掌握中国马克思主义的基本观点和方法，并学会正确地运用这些观点去分析当代社会，具有世界眼光，全面的分析当代社会的政治、经济、思想文化、科学技术等；提高马克思主义的理论素养，和正确的分析当今世界问题和处理复杂问题的能力。</w:t>
            </w:r>
          </w:p>
          <w:p>
            <w:pPr>
              <w:ind w:firstLine="560" w:firstLineChars="200"/>
              <w:jc w:val="left"/>
              <w:rPr>
                <w:rFonts w:ascii="仿宋_GB2312" w:hAnsi="宋体" w:eastAsia="仿宋_GB2312"/>
                <w:sz w:val="28"/>
                <w:szCs w:val="28"/>
              </w:rPr>
            </w:pPr>
          </w:p>
          <w:p>
            <w:pPr>
              <w:spacing w:before="120" w:after="120" w:line="480" w:lineRule="exact"/>
              <w:ind w:firstLine="640" w:firstLineChars="200"/>
              <w:jc w:val="left"/>
              <w:rPr>
                <w:rFonts w:ascii="黑体" w:hAnsi="黑体" w:eastAsia="黑体"/>
                <w:sz w:val="32"/>
                <w:szCs w:val="30"/>
              </w:rPr>
            </w:pPr>
            <w:r>
              <w:rPr>
                <w:rFonts w:hint="eastAsia" w:ascii="黑体" w:hAnsi="黑体" w:eastAsia="黑体"/>
                <w:sz w:val="32"/>
                <w:szCs w:val="30"/>
                <w:lang w:val="en-US" w:eastAsia="zh-CN"/>
              </w:rPr>
              <w:t>二</w:t>
            </w:r>
            <w:r>
              <w:rPr>
                <w:rFonts w:hint="eastAsia" w:ascii="黑体" w:hAnsi="黑体" w:eastAsia="黑体"/>
                <w:sz w:val="32"/>
                <w:szCs w:val="30"/>
              </w:rPr>
              <w:t>、课程内容</w:t>
            </w:r>
          </w:p>
          <w:p>
            <w:pPr>
              <w:spacing w:line="288" w:lineRule="auto"/>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第一单元：导论   </w:t>
            </w:r>
          </w:p>
          <w:p>
            <w:pPr>
              <w:numPr>
                <w:ilvl w:val="0"/>
                <w:numId w:val="1"/>
              </w:numPr>
              <w:spacing w:line="288" w:lineRule="auto"/>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进入21世纪的人类社会</w:t>
            </w:r>
          </w:p>
          <w:p>
            <w:pPr>
              <w:numPr>
                <w:ilvl w:val="0"/>
                <w:numId w:val="1"/>
              </w:numPr>
              <w:spacing w:line="288" w:lineRule="auto"/>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当代中国马克思主义</w:t>
            </w:r>
          </w:p>
          <w:p>
            <w:pPr>
              <w:numPr>
                <w:ilvl w:val="0"/>
                <w:numId w:val="1"/>
              </w:numPr>
              <w:spacing w:line="288" w:lineRule="auto"/>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用当代中国马克思主义认识中国与世界</w:t>
            </w:r>
          </w:p>
          <w:p>
            <w:pPr>
              <w:numPr>
                <w:ilvl w:val="0"/>
                <w:numId w:val="1"/>
              </w:numPr>
              <w:spacing w:line="288" w:lineRule="auto"/>
              <w:ind w:left="420" w:leftChars="0" w:hanging="420" w:firstLine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学习该课程的目的意义和方法 </w:t>
            </w:r>
          </w:p>
          <w:p>
            <w:pPr>
              <w:numPr>
                <w:ilvl w:val="0"/>
                <w:numId w:val="0"/>
              </w:numPr>
              <w:spacing w:line="288" w:lineRule="auto"/>
              <w:ind w:leftChars="0" w:firstLine="560" w:firstLineChars="20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第二单元：当代世界经济政治格局</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1.当今世界正处于大发展大调整大变革时期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2.经济全球化带来的机遇和挑战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3.世界多极化趋势及其影响</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4.中国的和平发展之路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第三单元：当代发展问题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1.当代发展面临的重大问题</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2.可持续发展是人类面临的共同课题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3.中国坚持科学发展对于解决发展问题的贡献</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第四单元：当代社会建设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1.社会建设理论及其意义</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2.解决社会问题，推进社会建设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3.构建社会主义和谐社会</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第五单元：当代生态问题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1.生态环境理论及其意义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2.全球环境问题的形成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3.保护生态环境是人类共同责任</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第六单元：当代社会思潮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1.社会思潮是社会意识形态的特殊形式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2.当代资本主义价值观及其对社会思潮的影响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3.用社会主义核心价值领引社会思潮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第七单元：当代科学技术发展</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1.科技革命对人类社会的巨大影响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2.当代科学技术发展态势</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3.科技创新与创新型国家建设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第八单元：当代资本主义的新变化和社会主义的新发展</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1.当代资本主义发展概况与主要问题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2.金融危机与资本主义基本矛盾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3.社会主义取代资本主义的历史必然性 </w:t>
            </w:r>
          </w:p>
          <w:p>
            <w:pPr>
              <w:numPr>
                <w:ilvl w:val="0"/>
                <w:numId w:val="0"/>
              </w:numPr>
              <w:spacing w:line="288" w:lineRule="auto"/>
              <w:ind w:leftChars="0"/>
              <w:jc w:val="left"/>
              <w:rPr>
                <w:rFonts w:hint="eastAsia" w:ascii="仿宋_GB2312" w:hAnsi="宋体" w:eastAsia="仿宋_GB2312" w:cstheme="minorBidi"/>
                <w:kern w:val="2"/>
                <w:sz w:val="28"/>
                <w:szCs w:val="28"/>
                <w:lang w:val="en-US" w:eastAsia="zh-CN" w:bidi="ar-SA"/>
              </w:rPr>
            </w:pPr>
            <w:r>
              <w:rPr>
                <w:rFonts w:hint="eastAsia" w:ascii="仿宋_GB2312" w:hAnsi="宋体" w:eastAsia="仿宋_GB2312" w:cstheme="minorBidi"/>
                <w:kern w:val="2"/>
                <w:sz w:val="28"/>
                <w:szCs w:val="28"/>
                <w:lang w:val="en-US" w:eastAsia="zh-CN" w:bidi="ar-SA"/>
              </w:rPr>
              <w:t xml:space="preserve">4.科学社会主义发展的光辉前景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15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9196" w:type="dxa"/>
            <w:gridSpan w:val="4"/>
            <w:vAlign w:val="center"/>
          </w:tcPr>
          <w:p>
            <w:pPr>
              <w:ind w:firstLine="560" w:firstLineChars="200"/>
              <w:jc w:val="left"/>
              <w:rPr>
                <w:rFonts w:hint="default" w:ascii="宋体" w:hAnsi="宋体" w:eastAsia="仿宋_GB2312" w:cs="仿宋"/>
                <w:b/>
                <w:bCs/>
                <w:sz w:val="24"/>
                <w:lang w:val="en-US" w:eastAsia="zh-CN"/>
              </w:rPr>
            </w:pPr>
            <w:r>
              <w:rPr>
                <w:rFonts w:hint="eastAsia" w:ascii="仿宋_GB2312" w:hAnsi="宋体" w:eastAsia="仿宋_GB2312"/>
                <w:sz w:val="28"/>
                <w:szCs w:val="28"/>
                <w:lang w:val="en-US" w:eastAsia="zh-CN"/>
              </w:rPr>
              <w:t>课程论文+小组研讨</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D71B2"/>
    <w:multiLevelType w:val="multilevel"/>
    <w:tmpl w:val="655D71B2"/>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38318E"/>
    <w:rsid w:val="00504494"/>
    <w:rsid w:val="00572B83"/>
    <w:rsid w:val="006474FD"/>
    <w:rsid w:val="006B670A"/>
    <w:rsid w:val="007C7FB3"/>
    <w:rsid w:val="007E6550"/>
    <w:rsid w:val="007F2352"/>
    <w:rsid w:val="00915835"/>
    <w:rsid w:val="009D1D94"/>
    <w:rsid w:val="00BE3B2F"/>
    <w:rsid w:val="00CE3206"/>
    <w:rsid w:val="00DD4390"/>
    <w:rsid w:val="00E3604C"/>
    <w:rsid w:val="00F42780"/>
    <w:rsid w:val="016511DC"/>
    <w:rsid w:val="06590908"/>
    <w:rsid w:val="07182AFC"/>
    <w:rsid w:val="0A2140E6"/>
    <w:rsid w:val="0B757689"/>
    <w:rsid w:val="0E752010"/>
    <w:rsid w:val="0F97209E"/>
    <w:rsid w:val="10D10E21"/>
    <w:rsid w:val="12BF153E"/>
    <w:rsid w:val="15246ED4"/>
    <w:rsid w:val="16493207"/>
    <w:rsid w:val="180C0990"/>
    <w:rsid w:val="1B73339F"/>
    <w:rsid w:val="1C6D67B6"/>
    <w:rsid w:val="1C921A66"/>
    <w:rsid w:val="1FC11BA7"/>
    <w:rsid w:val="215A6C10"/>
    <w:rsid w:val="22085FA4"/>
    <w:rsid w:val="28B07116"/>
    <w:rsid w:val="2A580A39"/>
    <w:rsid w:val="2B1E6CE9"/>
    <w:rsid w:val="2CD930DF"/>
    <w:rsid w:val="2DCB1889"/>
    <w:rsid w:val="2FA02A40"/>
    <w:rsid w:val="32EE71B8"/>
    <w:rsid w:val="37B65C3F"/>
    <w:rsid w:val="3A7D1DEB"/>
    <w:rsid w:val="3BD74FEA"/>
    <w:rsid w:val="3C0D6901"/>
    <w:rsid w:val="3DF13E61"/>
    <w:rsid w:val="48CC307C"/>
    <w:rsid w:val="4BF453E8"/>
    <w:rsid w:val="4DD01419"/>
    <w:rsid w:val="4EE16DF4"/>
    <w:rsid w:val="55342CF9"/>
    <w:rsid w:val="56FC2749"/>
    <w:rsid w:val="573608B5"/>
    <w:rsid w:val="582232DD"/>
    <w:rsid w:val="5C270EC2"/>
    <w:rsid w:val="5C2C6AE1"/>
    <w:rsid w:val="6C83733E"/>
    <w:rsid w:val="6DF2413B"/>
    <w:rsid w:val="6E514204"/>
    <w:rsid w:val="6F9323D8"/>
    <w:rsid w:val="742E0E21"/>
    <w:rsid w:val="776808B4"/>
    <w:rsid w:val="778A66CD"/>
    <w:rsid w:val="78807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420" w:firstLineChars="200"/>
    </w:pPr>
    <w:rPr>
      <w:rFonts w:ascii="宋体" w:hAnsi="宋体" w:eastAsia="宋体" w:cs="Times New Roman"/>
      <w:szCs w:val="24"/>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72" w:after="72" w:line="336" w:lineRule="auto"/>
      <w:jc w:val="left"/>
    </w:pPr>
    <w:rPr>
      <w:rFonts w:ascii="宋体" w:hAnsi="宋体" w:eastAsia="宋体" w:cs="Times New Roman"/>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页眉 字符"/>
    <w:basedOn w:val="8"/>
    <w:link w:val="4"/>
    <w:qFormat/>
    <w:uiPriority w:val="0"/>
    <w:rPr>
      <w:kern w:val="2"/>
      <w:sz w:val="18"/>
      <w:szCs w:val="18"/>
    </w:rPr>
  </w:style>
  <w:style w:type="character" w:customStyle="1" w:styleId="11">
    <w:name w:val="页脚 字符"/>
    <w:basedOn w:val="8"/>
    <w:link w:val="3"/>
    <w:qFormat/>
    <w:uiPriority w:val="0"/>
    <w:rPr>
      <w:kern w:val="2"/>
      <w:sz w:val="18"/>
      <w:szCs w:val="18"/>
    </w:rPr>
  </w:style>
  <w:style w:type="paragraph" w:styleId="12">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885</Words>
  <Characters>938</Characters>
  <Lines>1</Lines>
  <Paragraphs>1</Paragraphs>
  <TotalTime>1</TotalTime>
  <ScaleCrop>false</ScaleCrop>
  <LinksUpToDate>false</LinksUpToDate>
  <CharactersWithSpaces>963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2022-09-05T09:16:00Z</dcterms:created>
  <dc:creator>阿臣</dc:creator>
  <cp:lastModifiedBy>木木人土土</cp:lastModifiedBy>
  <dcterms:modified xsi:type="dcterms:W3CDTF">2023-09-14T07:38:48Z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A9B14B43293141279B08F92FECCD98EE</vt:lpwstr>
  </property>
</Properties>
</file>